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2</w:t>
      </w:r>
    </w:p>
    <w:p>
      <w:pPr>
        <w:pageBreakBefore w:val="0"/>
        <w:widowControl/>
        <w:shd w:val="clear" w:color="auto" w:fill="FEFEFE"/>
        <w:kinsoku/>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尽职调查主要内容</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val="0"/>
        <w:spacing w:line="600" w:lineRule="exact"/>
        <w:ind w:left="560" w:leftChars="0"/>
        <w:jc w:val="left"/>
        <w:textAlignment w:val="auto"/>
        <w:rPr>
          <w:rFonts w:ascii="仿宋_GB2312" w:hAnsi="微软雅黑" w:eastAsia="仿宋_GB2312" w:cs="宋体"/>
          <w:color w:val="333333"/>
          <w:kern w:val="0"/>
          <w:sz w:val="32"/>
          <w:szCs w:val="32"/>
        </w:rPr>
      </w:pPr>
    </w:p>
    <w:p>
      <w:pPr>
        <w:keepNext w:val="0"/>
        <w:keepLines w:val="0"/>
        <w:pageBreakBefore w:val="0"/>
        <w:widowControl/>
        <w:numPr>
          <w:ilvl w:val="0"/>
          <w:numId w:val="1"/>
        </w:numPr>
        <w:shd w:val="clear" w:color="auto" w:fill="FEFEFE"/>
        <w:kinsoku/>
        <w:wordWrap/>
        <w:overflowPunct/>
        <w:topLinePunct w:val="0"/>
        <w:autoSpaceDE/>
        <w:autoSpaceDN/>
        <w:bidi w:val="0"/>
        <w:adjustRightInd/>
        <w:snapToGrid w:val="0"/>
        <w:spacing w:line="600" w:lineRule="exact"/>
        <w:ind w:left="0" w:leftChars="0" w:firstLine="560" w:firstLineChars="0"/>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lang w:val="en-US" w:eastAsia="zh-CN"/>
        </w:rPr>
        <w:t>关于</w:t>
      </w:r>
      <w:r>
        <w:rPr>
          <w:rFonts w:hint="eastAsia" w:ascii="黑体" w:hAnsi="黑体" w:eastAsia="黑体" w:cs="黑体"/>
          <w:b/>
          <w:bCs/>
          <w:color w:val="333333"/>
          <w:kern w:val="0"/>
          <w:sz w:val="32"/>
          <w:szCs w:val="32"/>
        </w:rPr>
        <w:t>重要外包服务提供商</w:t>
      </w:r>
      <w:r>
        <w:rPr>
          <w:rFonts w:hint="eastAsia" w:ascii="黑体" w:hAnsi="黑体" w:eastAsia="黑体" w:cs="黑体"/>
          <w:b/>
          <w:bCs/>
          <w:color w:val="333333"/>
          <w:kern w:val="0"/>
          <w:sz w:val="32"/>
          <w:szCs w:val="32"/>
          <w:lang w:val="en-US" w:eastAsia="zh-CN"/>
        </w:rPr>
        <w:t>的尽调要求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val="0"/>
        <w:spacing w:line="600" w:lineRule="exact"/>
        <w:ind w:firstLine="640" w:firstLineChars="200"/>
        <w:jc w:val="left"/>
        <w:textAlignment w:val="auto"/>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针对我部的</w:t>
      </w:r>
      <w:r>
        <w:rPr>
          <w:rFonts w:hint="eastAsia" w:ascii="仿宋_GB2312" w:hAnsi="微软雅黑" w:eastAsia="仿宋_GB2312" w:cs="宋体"/>
          <w:b/>
          <w:bCs/>
          <w:color w:val="333333"/>
          <w:kern w:val="0"/>
          <w:sz w:val="32"/>
          <w:szCs w:val="32"/>
        </w:rPr>
        <w:t>重要外包服务提供商</w:t>
      </w:r>
      <w:r>
        <w:rPr>
          <w:rFonts w:hint="eastAsia" w:ascii="仿宋_GB2312" w:hAnsi="微软雅黑" w:eastAsia="仿宋_GB2312" w:cs="宋体"/>
          <w:color w:val="333333"/>
          <w:kern w:val="0"/>
          <w:sz w:val="32"/>
          <w:szCs w:val="32"/>
        </w:rPr>
        <w:t>，我部的尽职调查将涵盖以下内容，包括但不限于：</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服务提供商的技术和行业经验，人员及能力</w:t>
      </w:r>
      <w:r>
        <w:rPr>
          <w:rFonts w:ascii="仿宋_GB2312" w:hAnsi="Calibri" w:eastAsia="仿宋_GB2312" w:cs="宋体"/>
          <w:color w:val="333333"/>
          <w:kern w:val="0"/>
          <w:sz w:val="32"/>
          <w:szCs w:val="32"/>
        </w:rPr>
        <w:t>；</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服务提供商的内部控制和管理能力；</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服务提供商的网络和信息安全保障能力；</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服务提供商的持续经营状况</w:t>
      </w:r>
      <w:r>
        <w:rPr>
          <w:rFonts w:ascii="仿宋_GB2312" w:hAnsi="Calibri" w:eastAsia="仿宋_GB2312" w:cs="宋体"/>
          <w:color w:val="333333"/>
          <w:kern w:val="0"/>
          <w:sz w:val="32"/>
          <w:szCs w:val="32"/>
        </w:rPr>
        <w:t>；</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ascii="仿宋_GB2312" w:hAnsi="Calibri" w:eastAsia="仿宋_GB2312" w:cs="宋体"/>
          <w:color w:val="333333"/>
          <w:kern w:val="0"/>
          <w:sz w:val="32"/>
          <w:szCs w:val="32"/>
        </w:rPr>
        <w:t>服务提供商</w:t>
      </w:r>
      <w:r>
        <w:rPr>
          <w:rFonts w:hint="eastAsia" w:ascii="仿宋_GB2312" w:hAnsi="微软雅黑" w:eastAsia="仿宋_GB2312" w:cs="宋体"/>
          <w:color w:val="333333"/>
          <w:kern w:val="0"/>
          <w:sz w:val="32"/>
          <w:szCs w:val="32"/>
        </w:rPr>
        <w:t>及其母公司或实际控制人</w:t>
      </w:r>
      <w:r>
        <w:rPr>
          <w:rFonts w:ascii="仿宋_GB2312" w:hAnsi="Calibri" w:eastAsia="仿宋_GB2312" w:cs="宋体"/>
          <w:color w:val="333333"/>
          <w:kern w:val="0"/>
          <w:sz w:val="32"/>
          <w:szCs w:val="32"/>
        </w:rPr>
        <w:t>遵</w:t>
      </w:r>
      <w:r>
        <w:rPr>
          <w:rFonts w:hint="eastAsia" w:ascii="仿宋_GB2312" w:hAnsi="微软雅黑" w:eastAsia="仿宋_GB2312" w:cs="宋体"/>
          <w:color w:val="333333"/>
          <w:kern w:val="0"/>
          <w:sz w:val="32"/>
          <w:szCs w:val="32"/>
        </w:rPr>
        <w:t>守</w:t>
      </w:r>
      <w:r>
        <w:rPr>
          <w:rFonts w:ascii="仿宋_GB2312" w:hAnsi="Calibri" w:eastAsia="仿宋_GB2312" w:cs="宋体"/>
          <w:color w:val="333333"/>
          <w:kern w:val="0"/>
          <w:sz w:val="32"/>
          <w:szCs w:val="32"/>
        </w:rPr>
        <w:t>国家和银保监会相关法律法规要求的情况</w:t>
      </w:r>
      <w:r>
        <w:rPr>
          <w:rFonts w:hint="eastAsia" w:ascii="仿宋_GB2312" w:hAnsi="微软雅黑" w:eastAsia="仿宋_GB2312" w:cs="宋体"/>
          <w:color w:val="333333"/>
          <w:kern w:val="0"/>
          <w:sz w:val="32"/>
          <w:szCs w:val="32"/>
        </w:rPr>
        <w:t>；</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ascii="仿宋_GB2312" w:hAnsi="Calibri" w:eastAsia="仿宋_GB2312" w:cs="宋体"/>
          <w:color w:val="333333"/>
          <w:kern w:val="0"/>
          <w:sz w:val="32"/>
          <w:szCs w:val="32"/>
        </w:rPr>
        <w:t>服务提供商过往配合银行保险机构审计、评估、检查及监管机构监督检查情况</w:t>
      </w:r>
      <w:r>
        <w:rPr>
          <w:rFonts w:hint="eastAsia" w:ascii="仿宋_GB2312" w:hAnsi="微软雅黑" w:eastAsia="仿宋_GB2312" w:cs="宋体"/>
          <w:color w:val="333333"/>
          <w:kern w:val="0"/>
          <w:sz w:val="32"/>
          <w:szCs w:val="32"/>
        </w:rPr>
        <w:t>；</w:t>
      </w:r>
    </w:p>
    <w:p>
      <w:pPr>
        <w:keepNext w:val="0"/>
        <w:keepLines w:val="0"/>
        <w:pageBreakBefore w:val="0"/>
        <w:widowControl/>
        <w:numPr>
          <w:ilvl w:val="0"/>
          <w:numId w:val="2"/>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服务提供商与银行保险机构的关联性。</w:t>
      </w:r>
    </w:p>
    <w:p>
      <w:pPr>
        <w:keepNext w:val="0"/>
        <w:keepLines w:val="0"/>
        <w:pageBreakBefore w:val="0"/>
        <w:widowControl/>
        <w:numPr>
          <w:ilvl w:val="0"/>
          <w:numId w:val="1"/>
        </w:numPr>
        <w:shd w:val="clear" w:color="auto" w:fill="FEFEFE"/>
        <w:kinsoku/>
        <w:wordWrap/>
        <w:overflowPunct/>
        <w:topLinePunct w:val="0"/>
        <w:autoSpaceDE/>
        <w:autoSpaceDN/>
        <w:bidi w:val="0"/>
        <w:adjustRightInd/>
        <w:snapToGrid w:val="0"/>
        <w:spacing w:line="600" w:lineRule="exact"/>
        <w:ind w:left="0" w:leftChars="0" w:firstLine="560" w:firstLineChars="0"/>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lang w:val="en-US" w:eastAsia="zh-CN"/>
        </w:rPr>
        <w:t>关于</w:t>
      </w:r>
      <w:r>
        <w:rPr>
          <w:rFonts w:hint="eastAsia" w:ascii="黑体" w:hAnsi="黑体" w:eastAsia="黑体" w:cs="黑体"/>
          <w:b/>
          <w:bCs/>
          <w:color w:val="333333"/>
          <w:kern w:val="0"/>
          <w:sz w:val="32"/>
          <w:szCs w:val="32"/>
        </w:rPr>
        <w:t>重要</w:t>
      </w:r>
      <w:r>
        <w:rPr>
          <w:rFonts w:hint="eastAsia" w:ascii="黑体" w:hAnsi="黑体" w:eastAsia="黑体" w:cs="黑体"/>
          <w:b/>
          <w:bCs/>
          <w:color w:val="333333"/>
          <w:kern w:val="0"/>
          <w:sz w:val="32"/>
          <w:szCs w:val="32"/>
          <w:lang w:val="en-US" w:eastAsia="zh-CN"/>
        </w:rPr>
        <w:t>非驻场外包</w:t>
      </w:r>
      <w:r>
        <w:rPr>
          <w:rFonts w:hint="eastAsia" w:ascii="黑体" w:hAnsi="黑体" w:eastAsia="黑体" w:cs="黑体"/>
          <w:b/>
          <w:bCs/>
          <w:color w:val="333333"/>
          <w:kern w:val="0"/>
          <w:sz w:val="32"/>
          <w:szCs w:val="32"/>
        </w:rPr>
        <w:t>服务提供商</w:t>
      </w:r>
      <w:r>
        <w:rPr>
          <w:rFonts w:hint="eastAsia" w:ascii="黑体" w:hAnsi="黑体" w:eastAsia="黑体" w:cs="黑体"/>
          <w:b/>
          <w:bCs/>
          <w:color w:val="333333"/>
          <w:kern w:val="0"/>
          <w:sz w:val="32"/>
          <w:szCs w:val="32"/>
          <w:lang w:val="en-US" w:eastAsia="zh-CN"/>
        </w:rPr>
        <w:t>的尽调要求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val="0"/>
        <w:spacing w:line="600" w:lineRule="exact"/>
        <w:ind w:firstLine="640" w:firstLineChars="20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对于符合</w:t>
      </w:r>
      <w:r>
        <w:rPr>
          <w:rFonts w:hint="eastAsia" w:ascii="仿宋_GB2312" w:hAnsi="微软雅黑" w:eastAsia="仿宋_GB2312" w:cs="宋体"/>
          <w:b/>
          <w:bCs/>
          <w:color w:val="333333"/>
          <w:kern w:val="0"/>
          <w:sz w:val="32"/>
          <w:szCs w:val="32"/>
        </w:rPr>
        <w:t>重要外包条件的非驻场外包</w:t>
      </w:r>
      <w:r>
        <w:rPr>
          <w:rFonts w:hint="eastAsia" w:ascii="仿宋_GB2312" w:hAnsi="微软雅黑" w:eastAsia="仿宋_GB2312" w:cs="宋体"/>
          <w:color w:val="333333"/>
          <w:kern w:val="0"/>
          <w:sz w:val="32"/>
          <w:szCs w:val="32"/>
        </w:rPr>
        <w:t>，应当进一步重点调查如下内容：</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服务提供商对银行保险机构与其他机构的设施、系统和数据是否有明确、清晰的边界；</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服务提供商是否有管理制度和技术措施保障银行保险机构数据的完整性和保密性；</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服务提供商对涉及银行保险机构的服务器、存储、网络设备、操作系统、数据库、中间件等软硬件基础设施是否具有最高访问权限；</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服务提供商是否拥有或可能拥有业务系统的最高管理权限</w:t>
      </w:r>
      <w:r>
        <w:rPr>
          <w:rFonts w:ascii="仿宋_GB2312" w:hAnsi="Calibri" w:eastAsia="仿宋_GB2312" w:cs="宋体"/>
          <w:color w:val="333333"/>
          <w:kern w:val="0"/>
          <w:sz w:val="32"/>
          <w:szCs w:val="32"/>
        </w:rPr>
        <w:t>或</w:t>
      </w:r>
      <w:r>
        <w:rPr>
          <w:rFonts w:hint="eastAsia" w:ascii="仿宋_GB2312" w:hAnsi="微软雅黑" w:eastAsia="仿宋_GB2312" w:cs="宋体"/>
          <w:color w:val="333333"/>
          <w:kern w:val="0"/>
          <w:sz w:val="32"/>
          <w:szCs w:val="32"/>
        </w:rPr>
        <w:t>访问权限，是否能够浏览、获取重要数据或客户个人敏感信息；</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服务提供商是否有完善的灾难恢复设施和应急管理体系，是否有业务连续性安排</w:t>
      </w:r>
      <w:r>
        <w:rPr>
          <w:rFonts w:ascii="仿宋_GB2312" w:hAnsi="Calibri" w:eastAsia="仿宋_GB2312" w:cs="宋体"/>
          <w:color w:val="333333"/>
          <w:kern w:val="0"/>
          <w:sz w:val="32"/>
          <w:szCs w:val="32"/>
        </w:rPr>
        <w:t>；</w:t>
      </w:r>
    </w:p>
    <w:p>
      <w:pPr>
        <w:keepNext w:val="0"/>
        <w:keepLines w:val="0"/>
        <w:pageBreakBefore w:val="0"/>
        <w:widowControl/>
        <w:numPr>
          <w:ilvl w:val="0"/>
          <w:numId w:val="3"/>
        </w:numPr>
        <w:shd w:val="clear" w:color="auto" w:fill="FEFEFE"/>
        <w:kinsoku/>
        <w:wordWrap/>
        <w:overflowPunct/>
        <w:topLinePunct w:val="0"/>
        <w:autoSpaceDE/>
        <w:autoSpaceDN/>
        <w:bidi w:val="0"/>
        <w:adjustRightInd/>
        <w:snapToGrid w:val="0"/>
        <w:spacing w:line="600" w:lineRule="exact"/>
        <w:ind w:left="0" w:leftChars="0" w:firstLine="420" w:firstLineChars="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服务提供商是否存在不正当竞争或规避监管的情形。</w:t>
      </w:r>
    </w:p>
    <w:p>
      <w:pPr>
        <w:jc w:val="left"/>
        <w:rPr>
          <w:rFonts w:hint="eastAsia" w:ascii="仿宋_GB2312" w:hAnsi="微软雅黑" w:eastAsia="仿宋_GB2312" w:cs="宋体"/>
          <w:color w:val="333333"/>
          <w:kern w:val="0"/>
          <w:sz w:val="32"/>
          <w:szCs w:val="32"/>
        </w:rPr>
      </w:pPr>
    </w:p>
    <w:p>
      <w:pPr>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w:t>
      </w:r>
      <w:r>
        <w:rPr>
          <w:rFonts w:hint="eastAsia" w:ascii="黑体" w:hAnsi="黑体" w:eastAsia="黑体" w:cs="黑体"/>
          <w:color w:val="000000"/>
          <w:kern w:val="0"/>
          <w:sz w:val="32"/>
          <w:szCs w:val="32"/>
          <w:lang w:val="en-US" w:eastAsia="zh-CN"/>
        </w:rPr>
        <w:t>表</w:t>
      </w:r>
    </w:p>
    <w:p>
      <w:pPr>
        <w:widowControl/>
        <w:shd w:val="clear" w:color="auto" w:fill="FEFEFE"/>
        <w:spacing w:line="240" w:lineRule="auto"/>
        <w:ind w:left="0" w:leftChars="0" w:firstLine="0" w:firstLineChars="0"/>
        <w:jc w:val="both"/>
        <w:rPr>
          <w:rFonts w:hint="eastAsia" w:ascii="黑体" w:hAnsi="黑体" w:eastAsia="黑体" w:cs="黑体"/>
          <w:i/>
          <w:iCs/>
          <w:color w:val="FF0000"/>
          <w:kern w:val="0"/>
          <w:sz w:val="21"/>
          <w:szCs w:val="21"/>
          <w:lang w:val="en-US" w:eastAsia="zh-CN"/>
        </w:rPr>
      </w:pPr>
      <w:r>
        <w:rPr>
          <w:rFonts w:hint="eastAsia" w:ascii="黑体" w:hAnsi="黑体" w:eastAsia="黑体" w:cs="黑体"/>
          <w:i/>
          <w:iCs/>
          <w:color w:val="FF0000"/>
          <w:kern w:val="0"/>
          <w:sz w:val="21"/>
          <w:szCs w:val="21"/>
          <w:lang w:val="en-US" w:eastAsia="zh-CN"/>
        </w:rPr>
        <w:t>注：本工作清单仅供参考，实际工作开展中会有更为细致的要求。</w:t>
      </w:r>
    </w:p>
    <w:p>
      <w:pPr>
        <w:numPr>
          <w:ilvl w:val="0"/>
          <w:numId w:val="0"/>
        </w:numPr>
        <w:spacing w:line="360" w:lineRule="auto"/>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尽职调查工作清单</w:t>
      </w:r>
    </w:p>
    <w:tbl>
      <w:tblPr>
        <w:tblStyle w:val="4"/>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06"/>
        <w:gridCol w:w="2993"/>
        <w:gridCol w:w="1582"/>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jc w:val="center"/>
        </w:trPr>
        <w:tc>
          <w:tcPr>
            <w:tcW w:w="710" w:type="dxa"/>
            <w:shd w:val="clear" w:color="auto" w:fill="D9D9D9"/>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编号</w:t>
            </w:r>
          </w:p>
        </w:tc>
        <w:tc>
          <w:tcPr>
            <w:tcW w:w="1306" w:type="dxa"/>
            <w:shd w:val="clear" w:color="auto" w:fill="D9D9D9"/>
            <w:vAlign w:val="center"/>
          </w:tcPr>
          <w:p>
            <w:pPr>
              <w:widowControl/>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检查项目</w:t>
            </w:r>
          </w:p>
        </w:tc>
        <w:tc>
          <w:tcPr>
            <w:tcW w:w="2993" w:type="dxa"/>
            <w:shd w:val="clear" w:color="auto" w:fill="D9D9D9"/>
            <w:vAlign w:val="center"/>
          </w:tcPr>
          <w:p>
            <w:pPr>
              <w:widowControl/>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检查内容</w:t>
            </w:r>
          </w:p>
        </w:tc>
        <w:tc>
          <w:tcPr>
            <w:tcW w:w="1582" w:type="dxa"/>
            <w:shd w:val="clear" w:color="auto" w:fill="D9D9D9"/>
            <w:vAlign w:val="center"/>
          </w:tcPr>
          <w:p>
            <w:pPr>
              <w:widowControl/>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调查说明</w:t>
            </w:r>
          </w:p>
        </w:tc>
        <w:tc>
          <w:tcPr>
            <w:tcW w:w="1677" w:type="dxa"/>
            <w:shd w:val="clear" w:color="auto" w:fill="D9D9D9"/>
            <w:vAlign w:val="center"/>
          </w:tcPr>
          <w:p>
            <w:pPr>
              <w:widowControl/>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企业基本情况</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企业经营状况</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企业组织架构情况</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企业资质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内控管理</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制度建设</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top"/>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制度执行</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top"/>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审计评估</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10"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306" w:type="dxa"/>
            <w:vAlign w:val="center"/>
          </w:tcPr>
          <w:p>
            <w:pPr>
              <w:rPr>
                <w:rFonts w:hint="eastAsia" w:ascii="仿宋" w:hAnsi="仿宋" w:eastAsia="仿宋" w:cs="仿宋"/>
                <w:sz w:val="24"/>
              </w:rPr>
            </w:pPr>
            <w:r>
              <w:rPr>
                <w:rFonts w:hint="eastAsia" w:ascii="仿宋" w:hAnsi="仿宋" w:eastAsia="仿宋" w:cs="仿宋"/>
                <w:sz w:val="24"/>
              </w:rPr>
              <w:t>知识产权</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知识产权管理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人员管理</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人员招聘、离职</w:t>
            </w:r>
            <w:r>
              <w:rPr>
                <w:rFonts w:hint="eastAsia" w:ascii="仿宋" w:hAnsi="仿宋" w:eastAsia="仿宋" w:cs="仿宋"/>
                <w:sz w:val="24"/>
                <w:lang w:val="en-US" w:eastAsia="zh-CN"/>
              </w:rPr>
              <w:t>情况</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员工行为管理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10" w:type="dxa"/>
            <w:vMerge w:val="continue"/>
            <w:vAlign w:val="center"/>
          </w:tcPr>
          <w:p>
            <w:pPr>
              <w:jc w:val="center"/>
              <w:rPr>
                <w:rFonts w:hint="eastAsia" w:ascii="仿宋" w:hAnsi="仿宋" w:eastAsia="仿宋" w:cs="仿宋"/>
                <w:sz w:val="24"/>
              </w:rPr>
            </w:pPr>
            <w:bookmarkStart w:id="0" w:name="_GoBack" w:colFirst="3" w:colLast="3"/>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人才流失应对</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项目管理</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开发管理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需求管理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设计管理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测试管理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流程管理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信息安全</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安全管理</w:t>
            </w:r>
          </w:p>
        </w:tc>
        <w:tc>
          <w:tcPr>
            <w:tcW w:w="1582" w:type="dxa"/>
            <w:vAlign w:val="center"/>
          </w:tcPr>
          <w:p>
            <w:pPr>
              <w:ind w:firstLine="480" w:firstLineChars="200"/>
              <w:jc w:val="left"/>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开发安全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物理安全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安全防护</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用户管理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系统运维</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网络安全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终端安全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数据安全</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检查审计评估</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vMerge w:val="restart"/>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1306" w:type="dxa"/>
            <w:vMerge w:val="restart"/>
            <w:vAlign w:val="center"/>
          </w:tcPr>
          <w:p>
            <w:pPr>
              <w:rPr>
                <w:rFonts w:hint="eastAsia" w:ascii="仿宋" w:hAnsi="仿宋" w:eastAsia="仿宋" w:cs="仿宋"/>
                <w:sz w:val="24"/>
              </w:rPr>
            </w:pPr>
            <w:r>
              <w:rPr>
                <w:rFonts w:hint="eastAsia" w:ascii="仿宋" w:hAnsi="仿宋" w:eastAsia="仿宋" w:cs="仿宋"/>
                <w:sz w:val="24"/>
              </w:rPr>
              <w:t>技术能力和服务质量</w:t>
            </w: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研发能力</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服务体系规范化水平</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服务质量</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持续服务保障</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客户服务能力</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10" w:type="dxa"/>
            <w:vMerge w:val="continue"/>
            <w:vAlign w:val="center"/>
          </w:tcPr>
          <w:p>
            <w:pPr>
              <w:jc w:val="center"/>
              <w:rPr>
                <w:rFonts w:hint="eastAsia" w:ascii="仿宋" w:hAnsi="仿宋" w:eastAsia="仿宋" w:cs="仿宋"/>
                <w:sz w:val="24"/>
              </w:rPr>
            </w:pPr>
          </w:p>
        </w:tc>
        <w:tc>
          <w:tcPr>
            <w:tcW w:w="1306" w:type="dxa"/>
            <w:vMerge w:val="continue"/>
            <w:vAlign w:val="center"/>
          </w:tcPr>
          <w:p>
            <w:pPr>
              <w:ind w:firstLine="480" w:firstLineChars="200"/>
              <w:rPr>
                <w:rFonts w:hint="eastAsia" w:ascii="仿宋" w:hAnsi="仿宋" w:eastAsia="仿宋" w:cs="仿宋"/>
                <w:sz w:val="24"/>
              </w:rPr>
            </w:pPr>
          </w:p>
        </w:tc>
        <w:tc>
          <w:tcPr>
            <w:tcW w:w="2993" w:type="dxa"/>
            <w:vAlign w:val="center"/>
          </w:tcPr>
          <w:p>
            <w:pPr>
              <w:ind w:firstLine="480" w:firstLineChars="200"/>
              <w:rPr>
                <w:rFonts w:hint="eastAsia" w:ascii="仿宋" w:hAnsi="仿宋" w:eastAsia="仿宋" w:cs="仿宋"/>
                <w:sz w:val="24"/>
              </w:rPr>
            </w:pPr>
            <w:r>
              <w:rPr>
                <w:rFonts w:hint="eastAsia" w:ascii="仿宋" w:hAnsi="仿宋" w:eastAsia="仿宋" w:cs="仿宋"/>
                <w:sz w:val="24"/>
              </w:rPr>
              <w:t>合约管理</w:t>
            </w:r>
          </w:p>
        </w:tc>
        <w:tc>
          <w:tcPr>
            <w:tcW w:w="1582" w:type="dxa"/>
            <w:vAlign w:val="center"/>
          </w:tcPr>
          <w:p>
            <w:pPr>
              <w:ind w:firstLine="480" w:firstLineChars="200"/>
              <w:rPr>
                <w:rFonts w:hint="eastAsia" w:ascii="仿宋" w:hAnsi="仿宋" w:eastAsia="仿宋" w:cs="仿宋"/>
                <w:sz w:val="24"/>
              </w:rPr>
            </w:pPr>
          </w:p>
        </w:tc>
        <w:tc>
          <w:tcPr>
            <w:tcW w:w="1677" w:type="dxa"/>
            <w:vAlign w:val="center"/>
          </w:tcPr>
          <w:p>
            <w:pPr>
              <w:ind w:firstLine="480" w:firstLineChars="200"/>
              <w:rPr>
                <w:rFonts w:hint="eastAsia" w:ascii="仿宋" w:hAnsi="仿宋" w:eastAsia="仿宋" w:cs="仿宋"/>
                <w:sz w:val="24"/>
              </w:rPr>
            </w:pPr>
          </w:p>
        </w:tc>
      </w:tr>
    </w:tbl>
    <w:p>
      <w:pPr>
        <w:keepNext w:val="0"/>
        <w:keepLines w:val="0"/>
        <w:pageBreakBefore w:val="0"/>
        <w:widowControl/>
        <w:numPr>
          <w:ilvl w:val="-1"/>
          <w:numId w:val="0"/>
        </w:numPr>
        <w:shd w:val="clear" w:color="auto" w:fill="FEFEFE"/>
        <w:kinsoku/>
        <w:wordWrap/>
        <w:overflowPunct/>
        <w:topLinePunct w:val="0"/>
        <w:autoSpaceDE/>
        <w:autoSpaceDN/>
        <w:bidi w:val="0"/>
        <w:adjustRightInd/>
        <w:snapToGrid w:val="0"/>
        <w:spacing w:line="600" w:lineRule="exact"/>
        <w:ind w:left="0" w:leftChars="0" w:firstLine="0" w:firstLineChars="0"/>
        <w:jc w:val="left"/>
        <w:textAlignment w:val="auto"/>
        <w:rPr>
          <w:rFonts w:hint="default" w:ascii="仿宋_GB2312" w:hAnsi="微软雅黑" w:eastAsia="仿宋_GB2312" w:cs="宋体"/>
          <w:color w:val="333333"/>
          <w:kern w:val="0"/>
          <w:sz w:val="32"/>
          <w:szCs w:val="32"/>
          <w:lang w:val="en-US" w:eastAsia="zh-CN"/>
        </w:rPr>
      </w:pPr>
    </w:p>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081EC"/>
    <w:multiLevelType w:val="singleLevel"/>
    <w:tmpl w:val="928081EC"/>
    <w:lvl w:ilvl="0" w:tentative="0">
      <w:start w:val="1"/>
      <w:numFmt w:val="chineseCounting"/>
      <w:suff w:val="nothing"/>
      <w:lvlText w:val="%1、"/>
      <w:lvlJc w:val="left"/>
      <w:pPr>
        <w:ind w:left="0" w:firstLine="420"/>
      </w:pPr>
      <w:rPr>
        <w:rFonts w:hint="eastAsia" w:ascii="黑体" w:hAnsi="黑体" w:eastAsia="黑体" w:cs="黑体"/>
      </w:rPr>
    </w:lvl>
  </w:abstractNum>
  <w:abstractNum w:abstractNumId="1">
    <w:nsid w:val="D45854F1"/>
    <w:multiLevelType w:val="singleLevel"/>
    <w:tmpl w:val="D45854F1"/>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2">
    <w:nsid w:val="1FC1BC2F"/>
    <w:multiLevelType w:val="singleLevel"/>
    <w:tmpl w:val="1FC1BC2F"/>
    <w:lvl w:ilvl="0" w:tentative="0">
      <w:start w:val="1"/>
      <w:numFmt w:val="chineseCounting"/>
      <w:suff w:val="nothing"/>
      <w:lvlText w:val="（%1）"/>
      <w:lvlJc w:val="left"/>
      <w:pPr>
        <w:ind w:left="0" w:firstLine="420"/>
      </w:pPr>
      <w:rPr>
        <w:rFonts w:hint="eastAsia" w:ascii="仿宋" w:hAnsi="仿宋" w:eastAsia="仿宋" w:cs="仿宋"/>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85F8D"/>
    <w:rsid w:val="005D39B6"/>
    <w:rsid w:val="027622E5"/>
    <w:rsid w:val="0B1E0117"/>
    <w:rsid w:val="12500286"/>
    <w:rsid w:val="1D3A646D"/>
    <w:rsid w:val="20586AD4"/>
    <w:rsid w:val="25985F8D"/>
    <w:rsid w:val="3E950E30"/>
    <w:rsid w:val="5F9201B8"/>
    <w:rsid w:val="62126EC9"/>
    <w:rsid w:val="67B21283"/>
    <w:rsid w:val="69680FFD"/>
    <w:rsid w:val="6D4626B0"/>
    <w:rsid w:val="6F145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rPr>
      <w:rFonts w:eastAsia="楷体"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2024-03-26T10:02:00Z</dcterms:created>
  <dc:creator>刘臻娱</dc:creator>
  <cp:lastModifiedBy>刘臻娱</cp:lastModifiedBy>
  <dcterms:modified xsi:type="dcterms:W3CDTF">2024-03-26T10:02:13Z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27D3A10EA4564325B2C3E979379ECCD6</vt:lpwstr>
  </property>
</Properties>
</file>